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16FF5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51E2536">
      <w:pPr>
        <w:spacing w:line="58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聚力攻坚笃行实干</w:t>
      </w:r>
    </w:p>
    <w:p w14:paraId="4BB72C42">
      <w:pPr>
        <w:spacing w:line="58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答好优质均衡“泰山答卷”</w:t>
      </w:r>
    </w:p>
    <w:p w14:paraId="793DDF35">
      <w:pPr>
        <w:spacing w:line="580" w:lineRule="exact"/>
        <w:rPr>
          <w:rFonts w:ascii="仿宋_GB2312" w:eastAsia="仿宋_GB2312"/>
          <w:sz w:val="32"/>
          <w:szCs w:val="32"/>
        </w:rPr>
      </w:pPr>
    </w:p>
    <w:p w14:paraId="30D87852">
      <w:pPr>
        <w:spacing w:line="58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尊敬的袁厅长、高主任，各位领导、各位同仁：</w:t>
      </w:r>
    </w:p>
    <w:p w14:paraId="3E7E8F69">
      <w:pPr>
        <w:spacing w:line="58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大家好！</w:t>
      </w:r>
    </w:p>
    <w:p w14:paraId="4A2394B0">
      <w:pPr>
        <w:spacing w:line="58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泰安市泰山区辖10个街道、镇乡，现有义务教育学校94所、在校生11.8万人。作为中心城区，农村学生持续向城市集中，“城区挤、乡村空”的结构矛盾凸显。因此，对我区而言，创建工作就是一场硬仗。</w:t>
      </w:r>
    </w:p>
    <w:p w14:paraId="0C8AD0F4">
      <w:pPr>
        <w:spacing w:line="58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下面，我重点汇报我们如何直面短板、攻坚克难，创建工作取得实质性进展。</w:t>
      </w:r>
    </w:p>
    <w:p w14:paraId="6C6DEE03">
      <w:pPr>
        <w:spacing w:line="580" w:lineRule="exact"/>
        <w:ind w:firstLine="720" w:firstLineChars="200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一、领导重视是“定盘星”</w:t>
      </w:r>
    </w:p>
    <w:p w14:paraId="39F52DB6">
      <w:pPr>
        <w:spacing w:line="58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区委、区政府始终把教育摆在优先发展的战略地位。区委书记、区长任双组长，多次召开专题会，高频调度、强力推进。特别是区委张书记亲自主持召开教育强区工作会议，这在近年来尚属首次，会议旗帜鲜明提出“创则必成、创则必优、创则必胜”的“三创”目标，立下军令状，吹响冲锋号。财政局、人社局、各街道镇等相关部门逐一表态发言，承诺定人定责定时限，汇聚起齐抓共管的强大合力。区政府周区长在调度会上强调：“教育是最大的民生，再穷不能穷教育；财政再紧张，教育投入不能少。”这句话夯实了我们创建的信心和决心。</w:t>
      </w:r>
    </w:p>
    <w:p w14:paraId="40622A18">
      <w:pPr>
        <w:spacing w:line="58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创建工作启动以来，我们邀请相关专家现场培训指导12次，帮助我们对标对表、理清思路。省市督导评估和实地核查，区委、区政府主要领导全程陪同、现场办公，对发现问题即时拍板解决。从区委、区政府到镇街村居，从部门企业到社会各界，全都行动起来，区政府工作简报专题刊发助学兴教活动纪实5期，区长签批要求全区推广。这场攻坚战不是教育部门的“独角戏”，而是全区上下的“大合唱”。</w:t>
      </w:r>
    </w:p>
    <w:p w14:paraId="31DFB95A">
      <w:pPr>
        <w:spacing w:line="580" w:lineRule="exact"/>
        <w:ind w:firstLine="720" w:firstLineChars="200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二、摸清底数是“先手棋”</w:t>
      </w:r>
    </w:p>
    <w:p w14:paraId="7F13B4D2">
      <w:pPr>
        <w:spacing w:line="58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目标确立了，重点在行动，我们白天跑学校摸家底，晚上坐下来算细账——优势是什么？短板在哪里？差距有多大？时间够不够用？</w:t>
      </w:r>
    </w:p>
    <w:p w14:paraId="3F21BDCA">
      <w:pPr>
        <w:spacing w:line="580" w:lineRule="exact"/>
        <w:ind w:firstLine="720" w:firstLineChars="200"/>
        <w:rPr>
          <w:rFonts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账算清楚了，四块“拦路石”挡在面前：</w:t>
      </w:r>
      <w:r>
        <w:rPr>
          <w:rFonts w:hint="eastAsia" w:ascii="仿宋_GB2312" w:eastAsia="仿宋_GB2312"/>
          <w:b/>
          <w:bCs/>
          <w:sz w:val="36"/>
          <w:szCs w:val="36"/>
        </w:rPr>
        <w:t>一是资金缺口大。</w:t>
      </w:r>
      <w:r>
        <w:rPr>
          <w:rFonts w:hint="eastAsia" w:ascii="仿宋_GB2312" w:eastAsia="仿宋_GB2312"/>
          <w:sz w:val="36"/>
          <w:szCs w:val="36"/>
        </w:rPr>
        <w:t>（财政收支紧，创建需投入大，钱从哪里来？）</w:t>
      </w:r>
      <w:r>
        <w:rPr>
          <w:rFonts w:hint="eastAsia" w:ascii="仿宋_GB2312" w:eastAsia="仿宋_GB2312"/>
          <w:b/>
          <w:bCs/>
          <w:sz w:val="36"/>
          <w:szCs w:val="36"/>
        </w:rPr>
        <w:t>二是硬件欠账多。</w:t>
      </w:r>
      <w:r>
        <w:rPr>
          <w:rFonts w:hint="eastAsia" w:ascii="仿宋_GB2312" w:eastAsia="仿宋_GB2312"/>
          <w:sz w:val="36"/>
          <w:szCs w:val="36"/>
        </w:rPr>
        <w:t>（71栋老旧校舍亟待鉴定加固，音美教室缺口严重，设施设备亟待更新。）三</w:t>
      </w:r>
      <w:r>
        <w:rPr>
          <w:rFonts w:hint="eastAsia" w:ascii="仿宋_GB2312" w:eastAsia="仿宋_GB2312"/>
          <w:b/>
          <w:bCs/>
          <w:sz w:val="36"/>
          <w:szCs w:val="36"/>
        </w:rPr>
        <w:t>是学位供给紧。</w:t>
      </w:r>
      <w:r>
        <w:rPr>
          <w:rFonts w:hint="eastAsia" w:ascii="仿宋_GB2312" w:eastAsia="仿宋_GB2312"/>
          <w:sz w:val="36"/>
          <w:szCs w:val="36"/>
        </w:rPr>
        <w:t>（主城区寸土寸金，大校额、大班额问题突出，学生“上好学”的困难普遍存在。）</w:t>
      </w:r>
      <w:r>
        <w:rPr>
          <w:rFonts w:hint="eastAsia" w:ascii="仿宋_GB2312" w:eastAsia="仿宋_GB2312"/>
          <w:b/>
          <w:bCs/>
          <w:sz w:val="36"/>
          <w:szCs w:val="36"/>
        </w:rPr>
        <w:t>四是师资流动难。</w:t>
      </w:r>
      <w:r>
        <w:rPr>
          <w:rFonts w:hint="eastAsia" w:ascii="仿宋_GB2312" w:eastAsia="仿宋_GB2312"/>
          <w:sz w:val="36"/>
          <w:szCs w:val="36"/>
        </w:rPr>
        <w:t>（乡村教师学科结构性缺编，骨干教师“下不去、留不住”，城区学校教师超负荷运转。）这“四块巨石”搬不开，优质均衡就是一句空话。</w:t>
      </w:r>
    </w:p>
    <w:p w14:paraId="2E4E8B4F">
      <w:pPr>
        <w:spacing w:line="580" w:lineRule="exact"/>
        <w:ind w:firstLine="720" w:firstLineChars="200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三、靶向突破是“制胜招”</w:t>
      </w:r>
    </w:p>
    <w:p w14:paraId="6EE03789">
      <w:pPr>
        <w:spacing w:line="58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问题理清了，关键怎么破。我们坚持“一镇街一方案、一部门一方案、一学校一方案”，各自领题、破题、答题。</w:t>
      </w:r>
    </w:p>
    <w:p w14:paraId="6A68720D">
      <w:pPr>
        <w:spacing w:line="580" w:lineRule="exact"/>
        <w:ind w:firstLine="723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</w:rPr>
        <w:t>一是破解资金难题。</w:t>
      </w:r>
      <w:r>
        <w:rPr>
          <w:rFonts w:hint="eastAsia" w:ascii="仿宋_GB2312" w:eastAsia="仿宋_GB2312"/>
          <w:sz w:val="36"/>
          <w:szCs w:val="36"/>
        </w:rPr>
        <w:t>面对资金紧张局面，我们不等不靠，主动破局，统筹财政主渠道与社会活水源，有效缓解资金压力。</w:t>
      </w:r>
    </w:p>
    <w:p w14:paraId="380DA0A7">
      <w:pPr>
        <w:spacing w:line="580" w:lineRule="exact"/>
        <w:ind w:firstLine="720" w:firstLineChars="200"/>
        <w:rPr>
          <w:rFonts w:ascii="仿宋_GB2312" w:eastAsia="仿宋_GB2312"/>
          <w:color w:val="0000FF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向财政要钱，不是简单伸手，而是“算清账、理好据、找对人”。生均经费、专项资金、培训经费、教师待遇、创建资金，这五本资金投入明细账及按月拨付计划，全部呈报给财政局局长、分管区长，做到底数清。随后，我们分别拿着义务教育经费保障政策、上级整改要求和民生底线清单，建立“科室对接—局领导会商—区领导协调”的三级递进沟通机制，逐级表达诉求、层层压实责任。一般资金由教体局分管局长沟通，专项资金由我对接，大额投入资金由区长签批，财政局特事特办。6月28日，按原计划本应拨付的教育经费4100万元还未到位，怎么办？财政局局长直接说：“不是我不给你拨，是国库实在没有钱，我们变不出钱来呀？”话说到这个份上，我们也确实体会到了财政的难处。对此情况，分工区长挺身而出：“我来想办法，你联系一下市里，我和你去市财政局要钱，让市局给我们拨一下调度款，确保达到创建要求”。</w:t>
      </w:r>
      <w:r>
        <w:rPr>
          <w:rFonts w:hint="eastAsia" w:ascii="仿宋_GB2312" w:eastAsia="仿宋_GB2312"/>
          <w:sz w:val="36"/>
          <w:szCs w:val="36"/>
          <w:lang w:eastAsia="zh-CN"/>
        </w:rPr>
        <w:t>那天下着瓢泼大雨，</w:t>
      </w:r>
      <w:r>
        <w:rPr>
          <w:rFonts w:hint="eastAsia" w:ascii="仿宋_GB2312" w:eastAsia="仿宋_GB2312"/>
          <w:sz w:val="36"/>
          <w:szCs w:val="36"/>
        </w:rPr>
        <w:t>张区长和财政局长连续跑市财政局2趟</w:t>
      </w:r>
      <w:r>
        <w:rPr>
          <w:rFonts w:hint="eastAsia" w:ascii="仿宋_GB2312" w:eastAsia="仿宋_GB2312"/>
          <w:sz w:val="36"/>
          <w:szCs w:val="36"/>
          <w:lang w:eastAsia="zh-CN"/>
        </w:rPr>
        <w:t>。</w:t>
      </w:r>
      <w:r>
        <w:rPr>
          <w:rFonts w:hint="eastAsia" w:ascii="仿宋_GB2312" w:eastAsia="仿宋_GB2312"/>
          <w:sz w:val="36"/>
          <w:szCs w:val="36"/>
        </w:rPr>
        <w:t>6月29日下午，4100万元全部到位，及时拨付学校，经费各项指标达到创建要求。</w:t>
      </w:r>
    </w:p>
    <w:p w14:paraId="297D6CDB">
      <w:pPr>
        <w:spacing w:line="58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单靠财政资金还不够，各街道（镇、乡）自我加压，校、社、企、村多元联动，一镇街一方案，有钱的出钱，有物的出物，各有各的亮点，各有各的高招，10个街道镇通过各种渠道，累计投资700万元，使每所学校都成为最美的风景线。</w:t>
      </w:r>
    </w:p>
    <w:p w14:paraId="77953418">
      <w:pPr>
        <w:spacing w:line="580" w:lineRule="exact"/>
        <w:ind w:firstLine="723" w:firstLineChars="200"/>
        <w:rPr>
          <w:rFonts w:hint="eastAsia" w:ascii="仿宋_GB2312" w:eastAsia="仿宋_GB2312"/>
          <w:sz w:val="36"/>
          <w:szCs w:val="36"/>
          <w:shd w:val="clear" w:color="auto" w:fill="BEBEBE" w:themeFill="background1" w:themeFillShade="BF"/>
        </w:rPr>
      </w:pPr>
      <w:r>
        <w:rPr>
          <w:rFonts w:hint="eastAsia" w:ascii="楷体_GB2312" w:eastAsia="楷体_GB2312"/>
          <w:b/>
          <w:bCs/>
          <w:sz w:val="36"/>
          <w:szCs w:val="36"/>
        </w:rPr>
        <w:t>二是补齐硬件短板。</w:t>
      </w:r>
      <w:r>
        <w:rPr>
          <w:rFonts w:hint="eastAsia" w:ascii="仿宋_GB2312" w:eastAsia="仿宋_GB2312"/>
          <w:sz w:val="36"/>
          <w:szCs w:val="36"/>
        </w:rPr>
        <w:t>在优质均衡31项指标中，办学条件与硬件配套任务最为艰巨，是整项创建工作的“硬骨头”。对此，我们集中优势资源，抢抓施工黄金期，全力打响校舍改造、功能教室升级、教学装备更新“三场硬仗”。</w:t>
      </w:r>
      <w:r>
        <w:rPr>
          <w:rFonts w:hint="eastAsia" w:ascii="仿宋_GB2312" w:eastAsia="仿宋_GB2312"/>
          <w:b/>
          <w:bCs/>
          <w:sz w:val="36"/>
          <w:szCs w:val="36"/>
        </w:rPr>
        <w:t>校舍安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全“一楼一策”。</w:t>
      </w:r>
      <w:r>
        <w:rPr>
          <w:rFonts w:hint="eastAsia" w:ascii="仿宋_GB2312" w:hAnsi="仿宋_GB2312" w:eastAsia="仿宋_GB2312" w:cs="仿宋_GB2312"/>
          <w:sz w:val="36"/>
          <w:szCs w:val="36"/>
        </w:rPr>
        <w:t>71栋老旧校舍、11.8万平方米，哪些是危房、如何加固、工期多长，我们多次跑现场，精准拿方案，投入</w:t>
      </w:r>
      <w:r>
        <w:rPr>
          <w:rFonts w:ascii="仿宋_GB2312" w:hAnsi="仿宋_GB2312" w:eastAsia="仿宋_GB2312" w:cs="仿宋_GB2312"/>
          <w:sz w:val="36"/>
          <w:szCs w:val="36"/>
        </w:rPr>
        <w:t>40</w:t>
      </w:r>
      <w:r>
        <w:rPr>
          <w:rFonts w:hint="eastAsia" w:ascii="仿宋_GB2312" w:hAnsi="仿宋_GB2312" w:eastAsia="仿宋_GB2312" w:cs="仿宋_GB2312"/>
          <w:sz w:val="36"/>
          <w:szCs w:val="36"/>
        </w:rPr>
        <w:t>万元完成抗震安全鉴定；</w:t>
      </w:r>
      <w:r>
        <w:rPr>
          <w:rFonts w:hint="eastAsia" w:ascii="仿宋_GB2312" w:hAnsi="仿宋_GB2312" w:eastAsia="仿宋_GB2312" w:cs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投入1067万元，全面整修运动场地5万平方米、粉刷墙面</w:t>
      </w:r>
      <w:r>
        <w:rPr>
          <w:rFonts w:ascii="仿宋_GB2312" w:hAnsi="仿宋_GB2312" w:eastAsia="仿宋_GB2312" w:cs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万平方米，</w:t>
      </w:r>
      <w:r>
        <w:rPr>
          <w:rFonts w:hint="eastAsia" w:ascii="仿宋_GB2312" w:hAnsi="仿宋_GB2312" w:eastAsia="仿宋_GB2312" w:cs="仿宋_GB2312"/>
          <w:sz w:val="36"/>
          <w:szCs w:val="36"/>
        </w:rPr>
        <w:t>所有项目8月底前完工。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艺术教室“一校一策”。</w:t>
      </w:r>
      <w:r>
        <w:rPr>
          <w:rFonts w:hint="eastAsia" w:ascii="仿宋_GB2312" w:hAnsi="仿宋_GB2312" w:eastAsia="仿宋_GB2312" w:cs="仿宋_GB2312"/>
          <w:sz w:val="36"/>
          <w:szCs w:val="36"/>
        </w:rPr>
        <w:t>先后召开三次现场会，定下死规矩：校内能腾的腾、能改的改，实在没地的，向校外要空间。先后投入298万元改造、租赁校舍，全区所有学校音、美教室全部按标准配齐，台账管理、动态监测。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泰安市第一实验</w:t>
      </w:r>
      <w:r>
        <w:rPr>
          <w:rFonts w:hint="eastAsia" w:ascii="仿宋_GB2312" w:hAnsi="仿宋_GB2312" w:eastAsia="仿宋_GB2312" w:cs="仿宋_GB2312"/>
          <w:sz w:val="36"/>
          <w:szCs w:val="36"/>
        </w:rPr>
        <w:t>学校扩建功能教室四间；岱道庵小学与泰山技师学院共享艺术教室；泰师附校争取闲置聋哑学校。</w:t>
      </w:r>
    </w:p>
    <w:p w14:paraId="2CB269D7">
      <w:pPr>
        <w:spacing w:line="580" w:lineRule="exact"/>
        <w:ind w:firstLine="723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教育装备分批更新。</w:t>
      </w:r>
      <w:r>
        <w:rPr>
          <w:rFonts w:hint="eastAsia" w:ascii="仿宋_GB2312" w:hAnsi="仿宋_GB2312" w:eastAsia="仿宋_GB2312" w:cs="仿宋_GB2312"/>
          <w:sz w:val="36"/>
          <w:szCs w:val="36"/>
        </w:rPr>
        <w:t>总投资4709万元的信息化二次更新项目，我们跟财政局磨了两个多月，按照先急后缓原则，848万元先期到位，860台信创电脑、82间多媒体教室、3.5万套仪器器材、1万余套课桌椅全部落地。全区实现教学网络千兆到校、百兆到班。</w:t>
      </w:r>
    </w:p>
    <w:p w14:paraId="635027C6">
      <w:pPr>
        <w:spacing w:line="580" w:lineRule="exact"/>
        <w:ind w:firstLine="720" w:firstLineChars="200"/>
        <w:rPr>
          <w:rFonts w:ascii="仿宋_GB2312" w:hAnsi="仿宋_GB2312" w:eastAsia="仿宋_GB2312" w:cs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全区先后投入4.</w:t>
      </w:r>
      <w:r>
        <w:rPr>
          <w:rFonts w:ascii="仿宋_GB2312" w:hAnsi="仿宋_GB2312" w:eastAsia="仿宋_GB2312" w:cs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亿元，收购原民办学校校舍2所，新建改扩建农村学校15所，改造提升农村学校9所。</w:t>
      </w:r>
    </w:p>
    <w:p w14:paraId="256E08C9">
      <w:pPr>
        <w:spacing w:line="580" w:lineRule="exact"/>
        <w:ind w:firstLine="723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</w:rPr>
        <w:t>三是化解学位紧张。</w:t>
      </w:r>
      <w:r>
        <w:rPr>
          <w:rFonts w:hint="eastAsia" w:ascii="仿宋_GB2312" w:eastAsia="仿宋_GB2312"/>
          <w:b/>
          <w:bCs/>
          <w:sz w:val="36"/>
          <w:szCs w:val="36"/>
        </w:rPr>
        <w:t>目光向上</w:t>
      </w:r>
      <w:r>
        <w:rPr>
          <w:rFonts w:hint="eastAsia" w:ascii="宋体" w:hAnsi="宋体" w:eastAsia="宋体"/>
          <w:b/>
          <w:bCs/>
          <w:sz w:val="36"/>
          <w:szCs w:val="36"/>
        </w:rPr>
        <w:t>——</w:t>
      </w:r>
      <w:r>
        <w:rPr>
          <w:rFonts w:hint="eastAsia" w:ascii="仿宋_GB2312" w:eastAsia="仿宋_GB2312"/>
          <w:b/>
          <w:bCs/>
          <w:sz w:val="36"/>
          <w:szCs w:val="36"/>
        </w:rPr>
        <w:t>优化布局。</w:t>
      </w:r>
      <w:r>
        <w:rPr>
          <w:rFonts w:hint="eastAsia" w:ascii="仿宋_GB2312" w:eastAsia="仿宋_GB2312"/>
          <w:sz w:val="36"/>
          <w:szCs w:val="36"/>
        </w:rPr>
        <w:t>争取市局支持，优化乡村中小学布局，合校并点，撤并11所小规模学校，协调高新区就近接收4所学校生源。区长亲自协调市属闲置校园</w:t>
      </w:r>
      <w:r>
        <w:rPr>
          <w:rFonts w:ascii="仿宋_GB2312" w:eastAsia="仿宋_GB2312"/>
          <w:sz w:val="36"/>
          <w:szCs w:val="36"/>
        </w:rPr>
        <w:t>5</w:t>
      </w:r>
      <w:r>
        <w:rPr>
          <w:rFonts w:hint="eastAsia" w:ascii="仿宋_GB2312" w:eastAsia="仿宋_GB2312"/>
          <w:sz w:val="36"/>
          <w:szCs w:val="36"/>
        </w:rPr>
        <w:t>处，无偿划拨使用。</w:t>
      </w:r>
    </w:p>
    <w:p w14:paraId="3C2EA58A">
      <w:pPr>
        <w:spacing w:line="580" w:lineRule="exact"/>
        <w:ind w:firstLine="723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目光向内——统筹挖潜。</w:t>
      </w:r>
      <w:r>
        <w:rPr>
          <w:rFonts w:hint="eastAsia" w:ascii="仿宋_GB2312" w:eastAsia="仿宋_GB2312"/>
          <w:sz w:val="36"/>
          <w:szCs w:val="36"/>
        </w:rPr>
        <w:t>坚持“梯次流转、有序供给”原则，打通区域内小学和初中校舍资源共享路径，泰安六中、仓库路学校等通过集团内部调整增加学位1200个。</w:t>
      </w:r>
      <w:r>
        <w:rPr>
          <w:rFonts w:hint="eastAsia" w:ascii="仿宋_GB2312" w:eastAsia="仿宋_GB2312"/>
          <w:b/>
          <w:bCs/>
          <w:sz w:val="36"/>
          <w:szCs w:val="36"/>
        </w:rPr>
        <w:t>目光向外</w:t>
      </w:r>
      <w:r>
        <w:rPr>
          <w:rFonts w:hint="eastAsia" w:ascii="宋体" w:hAnsi="宋体" w:eastAsia="宋体"/>
          <w:b/>
          <w:bCs/>
          <w:sz w:val="36"/>
          <w:szCs w:val="36"/>
        </w:rPr>
        <w:t>——</w:t>
      </w:r>
      <w:r>
        <w:rPr>
          <w:rFonts w:hint="eastAsia" w:ascii="仿宋_GB2312" w:eastAsia="仿宋_GB2312"/>
          <w:b/>
          <w:bCs/>
          <w:sz w:val="36"/>
          <w:szCs w:val="36"/>
        </w:rPr>
        <w:t>借地扩容。</w:t>
      </w:r>
      <w:r>
        <w:rPr>
          <w:rFonts w:hint="eastAsia" w:ascii="仿宋_GB2312" w:hAnsi="仿宋_GB2312" w:eastAsia="仿宋_GB2312" w:cs="仿宋_GB2312"/>
          <w:sz w:val="36"/>
          <w:szCs w:val="36"/>
        </w:rPr>
        <w:t>为破解资源紧张、学位紧缺难题，我们成立工作组，对城区闲置资源全面摸排，锁定辖区闲置高校校舍3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6"/>
          <w:szCs w:val="36"/>
        </w:rPr>
        <w:t>处。这些校园场地规整，最适合改为中小学。方向定了，立刻行动，我们率先盘活山东第一医科大学天外村校区，改造成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迎胜</w:t>
      </w:r>
      <w:r>
        <w:rPr>
          <w:rFonts w:hint="eastAsia" w:ascii="仿宋_GB2312" w:hAnsi="仿宋_GB2312" w:eastAsia="仿宋_GB2312" w:cs="仿宋_GB2312"/>
          <w:sz w:val="36"/>
          <w:szCs w:val="36"/>
        </w:rPr>
        <w:t>小学北校区，新增学位600个。昔日的大学校园传出琅琅书声，孩子们在400米标准操场上奔跑，成了“在大学里上学的小学生”。</w:t>
      </w:r>
    </w:p>
    <w:p w14:paraId="38A0F314">
      <w:pPr>
        <w:spacing w:line="58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为进一步破解学院附中等中学学位紧张问题，区长、分管区长带队五次赴济南，对接省教育厅、省交通厅争取支持，专程拜访，推心置腹讲难处、聊情怀，一趟趟奔波，用一颗赤诚之心，打动了高校领导。现在，山东农业大学、山东交通职业学院、泰安技师学院等高校纷纷伸出援手，拿出闲置资源助力义务教育发展。这条借地扩容的路子，靠着校地同心护学的一腔热忱，我们不仅走通了，更越走越宽。近三年，累计新增学位20000余个，圆了万千学子在家门口“上好学”的梦想。</w:t>
      </w:r>
    </w:p>
    <w:p w14:paraId="6900EC8A">
      <w:pPr>
        <w:spacing w:line="580" w:lineRule="exact"/>
        <w:ind w:firstLine="723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</w:rPr>
        <w:t>四是筑牢师资根基</w:t>
      </w:r>
      <w:r>
        <w:rPr>
          <w:rFonts w:hint="eastAsia" w:ascii="宋体" w:hAnsi="宋体" w:eastAsia="宋体"/>
          <w:b/>
          <w:bCs/>
          <w:sz w:val="36"/>
          <w:szCs w:val="36"/>
        </w:rPr>
        <w:t>。</w:t>
      </w:r>
      <w:r>
        <w:rPr>
          <w:rFonts w:hint="eastAsia" w:ascii="仿宋_GB2312" w:eastAsia="仿宋_GB2312"/>
          <w:sz w:val="36"/>
          <w:szCs w:val="36"/>
        </w:rPr>
        <w:t>城乡教育最大的差距不是楼，而是人。我们不断深化“县管校聘”改革，让教师从“学校人”真正变为“系统人”。</w:t>
      </w:r>
      <w:r>
        <w:rPr>
          <w:rFonts w:hint="eastAsia" w:ascii="仿宋_GB2312" w:eastAsia="仿宋_GB2312"/>
          <w:b/>
          <w:bCs/>
          <w:sz w:val="36"/>
          <w:szCs w:val="36"/>
          <w:shd w:val="clear" w:color="auto" w:fill="auto"/>
        </w:rPr>
        <w:t>打破身份壁垒，推动双向流动。</w:t>
      </w:r>
      <w:r>
        <w:rPr>
          <w:rFonts w:hint="eastAsia" w:ascii="仿宋_GB2312" w:eastAsia="仿宋_GB2312"/>
          <w:sz w:val="36"/>
          <w:szCs w:val="36"/>
        </w:rPr>
        <w:t>全区统筹编制岗位，通过集团化轮岗、城乡挂职、紧缺学科走教等方式，三年累计选派1000余名骨干教师双向交流，做到“下去能支教、上来能成长、回流能赋能”。</w:t>
      </w:r>
      <w:r>
        <w:rPr>
          <w:rFonts w:hint="eastAsia" w:ascii="仿宋_GB2312" w:eastAsia="仿宋_GB2312"/>
          <w:b/>
          <w:bCs/>
          <w:sz w:val="36"/>
          <w:szCs w:val="36"/>
          <w:shd w:val="clear" w:color="auto" w:fill="auto"/>
        </w:rPr>
        <w:t>集团化办学，以强带弱。</w:t>
      </w:r>
      <w:r>
        <w:rPr>
          <w:rFonts w:hint="eastAsia" w:ascii="仿宋_GB2312" w:eastAsia="仿宋_GB2312"/>
          <w:sz w:val="36"/>
          <w:szCs w:val="36"/>
        </w:rPr>
        <w:t>17所核心校与53所成员校组建教联体，深入开展联合教研、名师巡讲、“青蓝工程”结对帮扶，让优秀教师“进得来、留得住、教得好”。</w:t>
      </w:r>
      <w:r>
        <w:rPr>
          <w:rFonts w:hint="eastAsia" w:ascii="仿宋_GB2312" w:eastAsia="仿宋_GB2312"/>
          <w:b/>
          <w:bCs/>
          <w:sz w:val="36"/>
          <w:szCs w:val="36"/>
          <w:shd w:val="clear" w:color="auto" w:fill="auto"/>
        </w:rPr>
        <w:t>强化教研支撑，精准施策提质。</w:t>
      </w:r>
      <w:r>
        <w:rPr>
          <w:rFonts w:hint="eastAsia" w:ascii="仿宋_GB2312" w:eastAsia="仿宋_GB2312"/>
          <w:sz w:val="36"/>
          <w:szCs w:val="36"/>
        </w:rPr>
        <w:t>组建12个学科指导团队，教研员蹲点驻校，深入薄弱学校听课评课、教学视导，全覆盖完成教学调研。开展素养学科专项研讨，音、美、科学课堂提质增效。</w:t>
      </w:r>
    </w:p>
    <w:p w14:paraId="0D2C3BB7">
      <w:pPr>
        <w:spacing w:line="58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四、督导问效是“压舱石”。</w:t>
      </w:r>
      <w:r>
        <w:rPr>
          <w:rFonts w:hint="eastAsia" w:ascii="仿宋_GB2312" w:eastAsia="仿宋_GB2312"/>
          <w:sz w:val="36"/>
          <w:szCs w:val="36"/>
        </w:rPr>
        <w:t>创建工作千头万绪，光布置不落实等于零。我们建立“镇街自查+政府督查+部门督导”三级联动体系，确保压力传导到位、责任落实到位。</w:t>
      </w:r>
    </w:p>
    <w:p w14:paraId="389B3555">
      <w:pPr>
        <w:spacing w:line="580" w:lineRule="exact"/>
        <w:ind w:firstLine="723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</w:rPr>
        <w:t>一是标准引领。</w:t>
      </w:r>
      <w:r>
        <w:rPr>
          <w:rFonts w:hint="eastAsia" w:ascii="仿宋_GB2312" w:eastAsia="仿宋_GB2312"/>
          <w:sz w:val="36"/>
          <w:szCs w:val="36"/>
        </w:rPr>
        <w:t>制定详细督导标准和验收清单，10个包保督导组分片包干，盯校舍安全、查功能教室、看档案资料、各负其责。</w:t>
      </w:r>
    </w:p>
    <w:p w14:paraId="44A1245B">
      <w:pPr>
        <w:spacing w:line="580" w:lineRule="exact"/>
        <w:ind w:firstLine="723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</w:rPr>
        <w:t>二是现场推进。</w:t>
      </w:r>
      <w:r>
        <w:rPr>
          <w:rFonts w:hint="eastAsia" w:ascii="仿宋_GB2312" w:eastAsia="仿宋_GB2312"/>
          <w:sz w:val="36"/>
          <w:szCs w:val="36"/>
        </w:rPr>
        <w:t>区政府分管领导带队下沉一线，现场查看、现场交办；全区统一组织观摩，让先进者“露脸”、落后者“出汗”。区政府督查室“四不两直”同步联动，责令问题，限期整改。</w:t>
      </w:r>
    </w:p>
    <w:p w14:paraId="3D43D554">
      <w:pPr>
        <w:spacing w:line="580" w:lineRule="exact"/>
        <w:ind w:firstLine="723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</w:rPr>
        <w:t>三是动真碰硬。</w:t>
      </w:r>
      <w:r>
        <w:rPr>
          <w:rFonts w:hint="eastAsia" w:ascii="仿宋_GB2312" w:eastAsia="仿宋_GB2312"/>
          <w:sz w:val="36"/>
          <w:szCs w:val="36"/>
        </w:rPr>
        <w:t>我们将创建工作与年终考核、评优树先、职称评聘、绩效发放</w:t>
      </w:r>
      <w:r>
        <w:rPr>
          <w:rFonts w:hint="eastAsia" w:ascii="仿宋_GB2312" w:eastAsia="仿宋_GB2312"/>
          <w:sz w:val="36"/>
          <w:szCs w:val="36"/>
        </w:rPr>
        <w:t>等“硬挂钩”，对整改不力的发简报通报；对推诿扯皮的，纪委介入约谈；成效突出的，大张旗鼓表扬奖励。</w:t>
      </w:r>
    </w:p>
    <w:p w14:paraId="779E4E7C">
      <w:pPr>
        <w:spacing w:line="580" w:lineRule="exact"/>
        <w:ind w:firstLine="720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截至目前，专项督查督导21</w:t>
      </w:r>
      <w:r>
        <w:rPr>
          <w:rFonts w:hint="eastAsia" w:ascii="仿宋_GB2312" w:eastAsia="仿宋_GB2312"/>
          <w:sz w:val="36"/>
          <w:szCs w:val="36"/>
        </w:rPr>
        <w:t>次，问题1100余条，整改完成率98%以上。高频次、全覆盖的督查督导，确保了问题不反弹、创建不走样。</w:t>
      </w:r>
    </w:p>
    <w:p w14:paraId="06FFE0F7">
      <w:pPr>
        <w:spacing w:line="58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各位领导、同仁：数亿资金、数万学位、数千教师、百余校舍——这组数字的背后，是区委、区政府办好人民满意教育的决心，是各部门协同作战的担当，更是全区群众对优质教育的期盼。</w:t>
      </w:r>
    </w:p>
    <w:p w14:paraId="1636BD38">
      <w:pPr>
        <w:spacing w:line="58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下一步，我们将继续以“挑担不怕难”的韧劲、“上山不怕险”的闯劲、“坦途不歇脚”的干劲、“重压不歇肩”的拼劲一步一个脚印，一级一个台阶，不获全胜决不收兵！用实干和担当，答好优质均衡这份沉甸甸的“泰山答卷”，为全省义务教育高质量发展贡献泰山力量！</w:t>
      </w:r>
    </w:p>
    <w:sectPr>
      <w:footerReference r:id="rId3" w:type="default"/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3875685"/>
    </w:sdtPr>
    <w:sdtEndPr>
      <w:rPr>
        <w:rFonts w:ascii="宋体" w:hAnsi="宋体" w:eastAsia="宋体"/>
        <w:sz w:val="22"/>
        <w:szCs w:val="22"/>
      </w:rPr>
    </w:sdtEndPr>
    <w:sdtContent>
      <w:p w14:paraId="1763FFA7">
        <w:pPr>
          <w:pStyle w:val="12"/>
          <w:jc w:val="center"/>
          <w:rPr>
            <w:rFonts w:ascii="宋体" w:hAnsi="宋体" w:eastAsia="宋体"/>
            <w:sz w:val="22"/>
            <w:szCs w:val="22"/>
          </w:rPr>
        </w:pPr>
        <w:r>
          <w:rPr>
            <w:rFonts w:ascii="Times New Roman" w:hAnsi="Times New Roman" w:eastAsia="宋体" w:cs="Times New Roman"/>
            <w:sz w:val="22"/>
            <w:szCs w:val="22"/>
          </w:rPr>
          <w:fldChar w:fldCharType="begin"/>
        </w:r>
        <w:r>
          <w:rPr>
            <w:rFonts w:ascii="Times New Roman" w:hAnsi="Times New Roman" w:eastAsia="宋体" w:cs="Times New Roman"/>
            <w:sz w:val="22"/>
            <w:szCs w:val="22"/>
          </w:rPr>
          <w:instrText xml:space="preserve">PAGE   \* MERGEFORMAT</w:instrText>
        </w:r>
        <w:r>
          <w:rPr>
            <w:rFonts w:ascii="Times New Roman" w:hAnsi="Times New Roman" w:eastAsia="宋体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eastAsia="宋体" w:cs="Times New Roman"/>
            <w:sz w:val="22"/>
            <w:szCs w:val="22"/>
            <w:lang w:val="zh-CN"/>
          </w:rPr>
          <w:t>7</w:t>
        </w:r>
        <w:r>
          <w:rPr>
            <w:rFonts w:ascii="Times New Roman" w:hAnsi="Times New Roman" w:eastAsia="宋体" w:cs="Times New Roman"/>
            <w:sz w:val="22"/>
            <w:szCs w:val="22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CB5"/>
    <w:rsid w:val="00371701"/>
    <w:rsid w:val="004F1A9E"/>
    <w:rsid w:val="00573F43"/>
    <w:rsid w:val="007A5CB5"/>
    <w:rsid w:val="00B47533"/>
    <w:rsid w:val="00C27A67"/>
    <w:rsid w:val="00DD19C7"/>
    <w:rsid w:val="00DF4ACD"/>
    <w:rsid w:val="00F760BE"/>
    <w:rsid w:val="03D5316D"/>
    <w:rsid w:val="0A781ADB"/>
    <w:rsid w:val="170D0604"/>
    <w:rsid w:val="19E82D64"/>
    <w:rsid w:val="1BDC1446"/>
    <w:rsid w:val="1D8B5F3B"/>
    <w:rsid w:val="23E32AE0"/>
    <w:rsid w:val="23F551A3"/>
    <w:rsid w:val="25D13278"/>
    <w:rsid w:val="30801616"/>
    <w:rsid w:val="30970F13"/>
    <w:rsid w:val="3DB9316B"/>
    <w:rsid w:val="43093693"/>
    <w:rsid w:val="491325C4"/>
    <w:rsid w:val="4DFA293B"/>
    <w:rsid w:val="4E157897"/>
    <w:rsid w:val="520304CA"/>
    <w:rsid w:val="52C206D3"/>
    <w:rsid w:val="5B713074"/>
    <w:rsid w:val="5FDFEDE3"/>
    <w:rsid w:val="67FB3202"/>
    <w:rsid w:val="6B26A916"/>
    <w:rsid w:val="733F5555"/>
    <w:rsid w:val="74126F89"/>
    <w:rsid w:val="7538AEDD"/>
    <w:rsid w:val="7ADF3206"/>
    <w:rsid w:val="7B7B68CF"/>
    <w:rsid w:val="7F4F2AE3"/>
    <w:rsid w:val="7FEF097C"/>
    <w:rsid w:val="A9F6F2DB"/>
    <w:rsid w:val="AAF79C76"/>
    <w:rsid w:val="ABEF7364"/>
    <w:rsid w:val="B7FBCE38"/>
    <w:rsid w:val="BB174512"/>
    <w:rsid w:val="BBFEF6FE"/>
    <w:rsid w:val="C7FFDC37"/>
    <w:rsid w:val="CFDDBB0E"/>
    <w:rsid w:val="CFDFC571"/>
    <w:rsid w:val="DB5E73CD"/>
    <w:rsid w:val="DEB4E114"/>
    <w:rsid w:val="EFDC6594"/>
    <w:rsid w:val="F9DA249F"/>
    <w:rsid w:val="FF777C61"/>
    <w:rsid w:val="FF7F2F13"/>
    <w:rsid w:val="FFFE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480" w:after="80"/>
      <w:outlineLvl w:val="0"/>
    </w:pPr>
    <w:rPr>
      <w:rFonts w:ascii="等线 Light" w:hAnsi="等线 Light" w:eastAsia="等线 Light" w:cs="Times New Roman"/>
      <w:color w:val="2F5496"/>
      <w:sz w:val="48"/>
      <w:szCs w:val="48"/>
    </w:rPr>
  </w:style>
  <w:style w:type="paragraph" w:styleId="3">
    <w:name w:val="heading 2"/>
    <w:basedOn w:val="1"/>
    <w:next w:val="1"/>
    <w:link w:val="19"/>
    <w:qFormat/>
    <w:uiPriority w:val="0"/>
    <w:pPr>
      <w:keepNext/>
      <w:keepLines/>
      <w:spacing w:before="160" w:after="80"/>
      <w:outlineLvl w:val="1"/>
    </w:pPr>
    <w:rPr>
      <w:rFonts w:ascii="等线 Light" w:hAnsi="等线 Light" w:eastAsia="等线 Light" w:cs="Times New Roman"/>
      <w:color w:val="2F5496"/>
      <w:sz w:val="40"/>
      <w:szCs w:val="40"/>
    </w:rPr>
  </w:style>
  <w:style w:type="paragraph" w:styleId="4">
    <w:name w:val="heading 3"/>
    <w:basedOn w:val="1"/>
    <w:next w:val="1"/>
    <w:link w:val="20"/>
    <w:qFormat/>
    <w:uiPriority w:val="0"/>
    <w:pPr>
      <w:keepNext/>
      <w:keepLines/>
      <w:spacing w:before="160" w:after="80"/>
      <w:outlineLvl w:val="2"/>
    </w:pPr>
    <w:rPr>
      <w:rFonts w:ascii="等线 Light" w:hAnsi="等线 Light" w:eastAsia="等线 Light" w:cs="Times New Roman"/>
      <w:color w:val="2F5496"/>
      <w:sz w:val="32"/>
      <w:szCs w:val="32"/>
    </w:rPr>
  </w:style>
  <w:style w:type="paragraph" w:styleId="5">
    <w:name w:val="heading 4"/>
    <w:basedOn w:val="1"/>
    <w:next w:val="1"/>
    <w:link w:val="21"/>
    <w:qFormat/>
    <w:uiPriority w:val="0"/>
    <w:pPr>
      <w:keepNext/>
      <w:keepLines/>
      <w:spacing w:before="80" w:after="40"/>
      <w:outlineLvl w:val="3"/>
    </w:pPr>
    <w:rPr>
      <w:rFonts w:cs="Times New Roman"/>
      <w:color w:val="2F5496"/>
      <w:sz w:val="28"/>
      <w:szCs w:val="28"/>
    </w:rPr>
  </w:style>
  <w:style w:type="paragraph" w:styleId="6">
    <w:name w:val="heading 5"/>
    <w:basedOn w:val="1"/>
    <w:next w:val="1"/>
    <w:link w:val="22"/>
    <w:qFormat/>
    <w:uiPriority w:val="0"/>
    <w:pPr>
      <w:keepNext/>
      <w:keepLines/>
      <w:spacing w:before="80" w:after="40"/>
      <w:outlineLvl w:val="4"/>
    </w:pPr>
    <w:rPr>
      <w:rFonts w:cs="Times New Roman"/>
      <w:color w:val="2F5496"/>
      <w:sz w:val="24"/>
      <w:szCs w:val="24"/>
    </w:rPr>
  </w:style>
  <w:style w:type="paragraph" w:styleId="7">
    <w:name w:val="heading 6"/>
    <w:basedOn w:val="1"/>
    <w:next w:val="1"/>
    <w:link w:val="23"/>
    <w:qFormat/>
    <w:uiPriority w:val="0"/>
    <w:pPr>
      <w:keepNext/>
      <w:keepLines/>
      <w:spacing w:before="40"/>
      <w:outlineLvl w:val="5"/>
    </w:pPr>
    <w:rPr>
      <w:rFonts w:cs="Times New Roman"/>
      <w:b/>
      <w:bCs/>
      <w:color w:val="2F5496"/>
    </w:rPr>
  </w:style>
  <w:style w:type="paragraph" w:styleId="8">
    <w:name w:val="heading 7"/>
    <w:basedOn w:val="1"/>
    <w:next w:val="1"/>
    <w:link w:val="24"/>
    <w:qFormat/>
    <w:uiPriority w:val="0"/>
    <w:pPr>
      <w:keepNext/>
      <w:keepLines/>
      <w:spacing w:before="40"/>
      <w:outlineLvl w:val="6"/>
    </w:pPr>
    <w:rPr>
      <w:rFonts w:cs="Times New Roman"/>
      <w:b/>
      <w:bCs/>
      <w:color w:val="595959"/>
    </w:rPr>
  </w:style>
  <w:style w:type="paragraph" w:styleId="9">
    <w:name w:val="heading 8"/>
    <w:basedOn w:val="1"/>
    <w:next w:val="1"/>
    <w:link w:val="25"/>
    <w:qFormat/>
    <w:uiPriority w:val="0"/>
    <w:pPr>
      <w:keepNext/>
      <w:keepLines/>
      <w:outlineLvl w:val="7"/>
    </w:pPr>
    <w:rPr>
      <w:rFonts w:cs="Times New Roman"/>
      <w:color w:val="595959"/>
    </w:rPr>
  </w:style>
  <w:style w:type="paragraph" w:styleId="10">
    <w:name w:val="heading 9"/>
    <w:basedOn w:val="1"/>
    <w:next w:val="1"/>
    <w:link w:val="26"/>
    <w:qFormat/>
    <w:uiPriority w:val="0"/>
    <w:pPr>
      <w:keepNext/>
      <w:keepLines/>
      <w:outlineLvl w:val="8"/>
    </w:pPr>
    <w:rPr>
      <w:rFonts w:eastAsia="等线 Light" w:cs="Times New Roman"/>
      <w:color w:val="595959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qFormat/>
    <w:uiPriority w:val="0"/>
    <w:pPr>
      <w:spacing w:after="160"/>
      <w:jc w:val="center"/>
    </w:pPr>
    <w:rPr>
      <w:rFonts w:ascii="等线 Light" w:hAnsi="等线 Light" w:eastAsia="等线 Light" w:cs="Times New Roman"/>
      <w:color w:val="595959"/>
      <w:spacing w:val="15"/>
      <w:sz w:val="28"/>
      <w:szCs w:val="28"/>
    </w:rPr>
  </w:style>
  <w:style w:type="paragraph" w:styleId="15">
    <w:name w:val="Title"/>
    <w:basedOn w:val="1"/>
    <w:next w:val="1"/>
    <w:qFormat/>
    <w:uiPriority w:val="0"/>
    <w:pPr>
      <w:spacing w:after="80"/>
      <w:contextualSpacing/>
      <w:jc w:val="center"/>
    </w:pPr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0"/>
    <w:rPr>
      <w:rFonts w:ascii="等线 Light" w:hAnsi="等线 Light" w:eastAsia="等线 Light" w:cs="Times New Roman"/>
      <w:color w:val="2F5496"/>
      <w:kern w:val="2"/>
      <w:sz w:val="48"/>
      <w:szCs w:val="48"/>
      <w:lang w:val="en-US" w:eastAsia="zh-CN" w:bidi="ar-SA"/>
    </w:rPr>
  </w:style>
  <w:style w:type="character" w:customStyle="1" w:styleId="19">
    <w:name w:val="标题 2 字符"/>
    <w:basedOn w:val="17"/>
    <w:link w:val="3"/>
    <w:qFormat/>
    <w:uiPriority w:val="0"/>
    <w:rPr>
      <w:rFonts w:ascii="等线 Light" w:hAnsi="等线 Light" w:eastAsia="等线 Light" w:cs="Times New Roman"/>
      <w:color w:val="2F5496"/>
      <w:kern w:val="2"/>
      <w:sz w:val="40"/>
      <w:szCs w:val="40"/>
      <w:lang w:val="en-US" w:eastAsia="zh-CN" w:bidi="ar-SA"/>
    </w:rPr>
  </w:style>
  <w:style w:type="character" w:customStyle="1" w:styleId="20">
    <w:name w:val="标题 3 字符"/>
    <w:basedOn w:val="17"/>
    <w:link w:val="4"/>
    <w:qFormat/>
    <w:uiPriority w:val="0"/>
    <w:rPr>
      <w:rFonts w:ascii="等线 Light" w:hAnsi="等线 Light" w:eastAsia="等线 Light" w:cs="Times New Roman"/>
      <w:color w:val="2F5496"/>
      <w:kern w:val="2"/>
      <w:sz w:val="32"/>
      <w:szCs w:val="32"/>
      <w:lang w:val="en-US" w:eastAsia="zh-CN" w:bidi="ar-SA"/>
    </w:rPr>
  </w:style>
  <w:style w:type="character" w:customStyle="1" w:styleId="21">
    <w:name w:val="标题 4 字符"/>
    <w:basedOn w:val="17"/>
    <w:link w:val="5"/>
    <w:qFormat/>
    <w:uiPriority w:val="0"/>
    <w:rPr>
      <w:rFonts w:ascii="等线" w:hAnsi="等线" w:eastAsia="等线" w:cs="Times New Roman"/>
      <w:color w:val="2F5496"/>
      <w:kern w:val="2"/>
      <w:sz w:val="28"/>
      <w:szCs w:val="28"/>
      <w:lang w:val="en-US" w:eastAsia="zh-CN" w:bidi="ar-SA"/>
    </w:rPr>
  </w:style>
  <w:style w:type="character" w:customStyle="1" w:styleId="22">
    <w:name w:val="标题 5 字符"/>
    <w:basedOn w:val="17"/>
    <w:link w:val="6"/>
    <w:qFormat/>
    <w:uiPriority w:val="0"/>
    <w:rPr>
      <w:rFonts w:ascii="等线" w:hAnsi="等线" w:eastAsia="等线" w:cs="Times New Roman"/>
      <w:color w:val="2F5496"/>
      <w:kern w:val="2"/>
      <w:sz w:val="24"/>
      <w:szCs w:val="24"/>
      <w:lang w:val="en-US" w:eastAsia="zh-CN" w:bidi="ar-SA"/>
    </w:rPr>
  </w:style>
  <w:style w:type="character" w:customStyle="1" w:styleId="23">
    <w:name w:val="标题 6 字符"/>
    <w:basedOn w:val="17"/>
    <w:link w:val="7"/>
    <w:qFormat/>
    <w:uiPriority w:val="0"/>
    <w:rPr>
      <w:rFonts w:ascii="等线" w:hAnsi="等线" w:eastAsia="等线" w:cs="Times New Roman"/>
      <w:b/>
      <w:bCs/>
      <w:color w:val="2F5496"/>
      <w:kern w:val="2"/>
      <w:sz w:val="21"/>
      <w:szCs w:val="22"/>
      <w:lang w:val="en-US" w:eastAsia="zh-CN" w:bidi="ar-SA"/>
    </w:rPr>
  </w:style>
  <w:style w:type="character" w:customStyle="1" w:styleId="24">
    <w:name w:val="标题 7 字符"/>
    <w:basedOn w:val="17"/>
    <w:link w:val="8"/>
    <w:qFormat/>
    <w:uiPriority w:val="0"/>
    <w:rPr>
      <w:rFonts w:ascii="等线" w:hAnsi="等线" w:eastAsia="等线" w:cs="Times New Roman"/>
      <w:b/>
      <w:bCs/>
      <w:color w:val="595959"/>
      <w:kern w:val="2"/>
      <w:sz w:val="21"/>
      <w:szCs w:val="22"/>
      <w:lang w:val="en-US" w:eastAsia="zh-CN" w:bidi="ar-SA"/>
    </w:rPr>
  </w:style>
  <w:style w:type="character" w:customStyle="1" w:styleId="25">
    <w:name w:val="标题 8 字符"/>
    <w:basedOn w:val="17"/>
    <w:link w:val="9"/>
    <w:qFormat/>
    <w:uiPriority w:val="0"/>
    <w:rPr>
      <w:rFonts w:ascii="等线" w:hAnsi="等线" w:eastAsia="等线" w:cs="Times New Roman"/>
      <w:color w:val="595959"/>
      <w:kern w:val="2"/>
      <w:sz w:val="21"/>
      <w:szCs w:val="22"/>
      <w:lang w:val="en-US" w:eastAsia="zh-CN" w:bidi="ar-SA"/>
    </w:rPr>
  </w:style>
  <w:style w:type="character" w:customStyle="1" w:styleId="26">
    <w:name w:val="标题 9 字符"/>
    <w:basedOn w:val="17"/>
    <w:link w:val="10"/>
    <w:qFormat/>
    <w:uiPriority w:val="0"/>
    <w:rPr>
      <w:rFonts w:ascii="等线" w:hAnsi="等线" w:eastAsia="等线 Light" w:cs="Times New Roman"/>
      <w:color w:val="595959"/>
      <w:kern w:val="2"/>
      <w:sz w:val="21"/>
      <w:szCs w:val="22"/>
      <w:lang w:val="en-US" w:eastAsia="zh-CN" w:bidi="ar-SA"/>
    </w:rPr>
  </w:style>
  <w:style w:type="paragraph" w:styleId="27">
    <w:name w:val="Quote"/>
    <w:basedOn w:val="1"/>
    <w:next w:val="1"/>
    <w:qFormat/>
    <w:uiPriority w:val="0"/>
    <w:pPr>
      <w:spacing w:before="160" w:after="160"/>
      <w:jc w:val="center"/>
    </w:pPr>
    <w:rPr>
      <w:i/>
      <w:iCs/>
      <w:color w:val="404040"/>
    </w:rPr>
  </w:style>
  <w:style w:type="paragraph" w:styleId="28">
    <w:name w:val="List Paragraph"/>
    <w:basedOn w:val="1"/>
    <w:qFormat/>
    <w:uiPriority w:val="0"/>
    <w:pPr>
      <w:ind w:left="720"/>
      <w:contextualSpacing/>
    </w:pPr>
  </w:style>
  <w:style w:type="character" w:customStyle="1" w:styleId="29">
    <w:name w:val="明显强调1"/>
    <w:basedOn w:val="17"/>
    <w:qFormat/>
    <w:uiPriority w:val="0"/>
    <w:rPr>
      <w:i/>
      <w:iCs/>
      <w:color w:val="2F5496"/>
    </w:rPr>
  </w:style>
  <w:style w:type="paragraph" w:styleId="30">
    <w:name w:val="Intense Quote"/>
    <w:basedOn w:val="1"/>
    <w:next w:val="1"/>
    <w:qFormat/>
    <w:uiPriority w:val="0"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31">
    <w:name w:val="明显参考1"/>
    <w:basedOn w:val="17"/>
    <w:qFormat/>
    <w:uiPriority w:val="0"/>
    <w:rPr>
      <w:b/>
      <w:bCs/>
      <w:smallCaps/>
      <w:color w:val="2F5496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50 1 1 1 1 1"/>
    <sectPr xmlns="http://www.yozosoft.com.cn/officeDocument/2016/customData"/>
  </customProps>
</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89a62e89-c619-4526-910e-b11fc9edc243</errorID>
      <errorWord xmlns="http://schemas.wps.cn/vas-ai-hub/contract-review">镇乡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乡镇</item>
      </candidateList>
      <explain xmlns="http://schemas.wps.cn/vas-ai-hub/contract-review"/>
      <paraID xmlns="http://schemas.wps.cn/vas-ai-hub/contract-review">4A2394B0</paraID>
      <start xmlns="http://schemas.wps.cn/vas-ai-hub/contract-review">13</start>
      <end xmlns="http://schemas.wps.cn/vas-ai-hub/contract-review">15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29916f7b-5d71-4295-84fb-5b97868dfff1</errorID>
      <errorWord xmlns="http://schemas.wps.cn/vas-ai-hub/contract-review">即时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及时</item>
      </candidateList>
      <explain xmlns="http://schemas.wps.cn/vas-ai-hub/contract-review"/>
      <paraID xmlns="http://schemas.wps.cn/vas-ai-hub/contract-review">40622A18</paraID>
      <start xmlns="http://schemas.wps.cn/vas-ai-hub/contract-review">78</start>
      <end xmlns="http://schemas.wps.cn/vas-ai-hub/contract-review">80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dac61370-79ef-480f-958a-5b6b63d650df</errorID>
      <errorWord xmlns="http://schemas.wps.cn/vas-ai-hub/contract-review">财政局长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L2_Unpolitical</ability>
      <abilityName xmlns="http://schemas.wps.cn/vas-ai-hub/contract-review">政治敏感错误</abilityName>
      <candidateList xmlns="http://schemas.wps.cn/vas-ai-hub/contract-review">
        <item xmlns="http://schemas.wps.cn/vas-ai-hub/contract-review">财政局局长</item>
      </candidateList>
      <explain xmlns="http://schemas.wps.cn/vas-ai-hub/contract-review"/>
      <paraID xmlns="http://schemas.wps.cn/vas-ai-hub/contract-review">380DA0A7</paraID>
      <start xmlns="http://schemas.wps.cn/vas-ai-hub/contract-review">379</start>
      <end xmlns="http://schemas.wps.cn/vas-ai-hub/contract-review">383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5c80de56-f6cf-41d7-b112-0816b6361603</errorID>
      <errorWord xmlns="http://schemas.wps.cn/vas-ai-hub/contract-review">挡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档</item>
      </candidateList>
      <explain xmlns="http://schemas.wps.cn/vas-ai-hub/contract-review">存在发音相同字词的误用。</explain>
      <paraID xmlns="http://schemas.wps.cn/vas-ai-hub/contract-review">2CB269D7</paraID>
      <start xmlns="http://schemas.wps.cn/vas-ai-hub/contract-review">106</start>
      <end xmlns="http://schemas.wps.cn/vas-ai-hub/contract-review">107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eaa7d3c8-3422-4fed-b24b-35ac06bb2572</errorID>
      <errorWord xmlns="http://schemas.wps.cn/vas-ai-hub/contract-review">交通厅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L2_Organization</ability>
      <abilityName xmlns="http://schemas.wps.cn/vas-ai-hub/contract-review">机构检查</abilityName>
      <candidateList xmlns="http://schemas.wps.cn/vas-ai-hub/contract-review">
        <item xmlns="http://schemas.wps.cn/vas-ai-hub/contract-review">交通运输厅</item>
      </candidateList>
      <explain xmlns="http://schemas.wps.cn/vas-ai-hub/contract-review">机关单位全简称表述错误</explain>
      <paraID xmlns="http://schemas.wps.cn/vas-ai-hub/contract-review">237FD912</paraID>
      <start xmlns="http://schemas.wps.cn/vas-ai-hub/contract-review">323</start>
      <end xmlns="http://schemas.wps.cn/vas-ai-hub/contract-review">326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05ae3981-64e6-4618-8ba0-280adf3da419</errorID>
      <errorWord xmlns="http://schemas.wps.cn/vas-ai-hub/contract-review">办好人民满意教育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办好人民满意的教育</item>
      </candidateList>
      <explain xmlns="http://schemas.wps.cn/vas-ai-hub/contract-review">词汇“办好人民满意的教育”在特定场景下为固定表述形式，请确认此处的“办好人民满意教育”是否存在不当。</explain>
      <paraID xmlns="http://schemas.wps.cn/vas-ai-hub/contract-review"> 6FFE0F7</paraID>
      <start xmlns="http://schemas.wps.cn/vas-ai-hub/contract-review">44</start>
      <end xmlns="http://schemas.wps.cn/vas-ai-hub/contract-review">52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7D92A443-CFED-4AEB-8191-9D24A4AE84C7}">
  <ds:schemaRefs/>
</ds:datastoreItem>
</file>

<file path=customXml/itemProps2.xml><?xml version="1.0" encoding="utf-8"?>
<ds:datastoreItem xmlns:ds="http://schemas.openxmlformats.org/officeDocument/2006/customXml" ds:itemID="{62C5F9FB-644A-443D-94E2-3E22AD6A8D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3751</Words>
  <Characters>3820</Characters>
  <Lines>27</Lines>
  <Paragraphs>7</Paragraphs>
  <TotalTime>1</TotalTime>
  <ScaleCrop>false</ScaleCrop>
  <LinksUpToDate>false</LinksUpToDate>
  <CharactersWithSpaces>3821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2026-08-17T20:51:00Z</dcterms:created>
  <dc:creator>1 rsk</dc:creator>
  <cp:lastModifiedBy>在路上</cp:lastModifiedBy>
  <cp:lastPrinted>2026-08-17T02:43:00Z</cp:lastPrinted>
  <dcterms:modified xsi:type="dcterms:W3CDTF">2026-08-20T19:44:14Z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eyJoZGlkIjoiOTQ5NGE5MDFkYWMwYTcyZmRlY2M0YjBjYTk4OWRkNWMiLCJ1c2VySWQiOiIyNzI4OTg5MzAifQ==</vt:lpwstr>
  </property>
  <property fmtid="{D5CDD505-2E9C-101B-9397-08002B2CF9AE}" pid="3" name="KSOProductBuildVer">
    <vt:lpwstr>2052-12.1.2.24730</vt:lpwstr>
  </property>
  <property fmtid="{D5CDD505-2E9C-101B-9397-08002B2CF9AE}" pid="4" name="ICV">
    <vt:lpwstr>9E561680DB234AB89F07E333CD051E28_13</vt:lpwstr>
  </property>
</Properties>
</file>